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rPr>
          <w:vertAlign w:val="baseline"/>
        </w:rPr>
      </w:pPr>
      <w:bookmarkStart w:colFirst="0" w:colLast="0" w:name="_heading=h.tm76pa49i17u" w:id="0"/>
      <w:bookmarkEnd w:id="0"/>
      <w:r w:rsidDel="00000000" w:rsidR="00000000" w:rsidRPr="00000000">
        <w:rPr>
          <w:rtl w:val="0"/>
        </w:rPr>
        <w:t xml:space="preserve">Sample Customer Announcement Script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b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04">
      <w:pPr>
        <w:ind w:left="0" w:right="1200" w:firstLine="0"/>
        <w:rPr>
          <w:rFonts w:ascii="Arial" w:cs="Arial" w:eastAsia="Arial" w:hAnsi="Arial"/>
          <w:b w:val="1"/>
          <w:color w:val="4f7a28"/>
          <w:highlight w:val="white"/>
        </w:rPr>
      </w:pPr>
      <w:r w:rsidDel="00000000" w:rsidR="00000000" w:rsidRPr="00000000">
        <w:rPr>
          <w:rFonts w:ascii="Arial" w:cs="Arial" w:eastAsia="Arial" w:hAnsi="Arial"/>
          <w:b w:val="1"/>
          <w:color w:val="77bb41"/>
          <w:highlight w:val="white"/>
          <w:rtl w:val="0"/>
        </w:rPr>
        <w:t xml:space="preserve">“</w:t>
      </w:r>
      <w:r w:rsidDel="00000000" w:rsidR="00000000" w:rsidRPr="00000000">
        <w:rPr>
          <w:rFonts w:ascii="Arial" w:cs="Arial" w:eastAsia="Arial" w:hAnsi="Arial"/>
          <w:b w:val="1"/>
          <w:color w:val="4f7a28"/>
          <w:highlight w:val="white"/>
          <w:rtl w:val="0"/>
        </w:rPr>
        <w:t xml:space="preserve"> Good afternoon; This is a Customer Announcement (by Greater Manchester Friends of Palestine)".</w:t>
      </w:r>
    </w:p>
    <w:p w:rsidR="00000000" w:rsidDel="00000000" w:rsidP="00000000" w:rsidRDefault="00000000" w:rsidRPr="00000000" w14:paraId="00000005">
      <w:pPr>
        <w:ind w:left="0" w:right="1200" w:firstLine="0"/>
        <w:rPr>
          <w:rFonts w:ascii="Arial" w:cs="Arial" w:eastAsia="Arial" w:hAnsi="Arial"/>
          <w:b w:val="1"/>
          <w:color w:val="4f7a28"/>
          <w:highlight w:val="white"/>
        </w:rPr>
      </w:pPr>
      <w:r w:rsidDel="00000000" w:rsidR="00000000" w:rsidRPr="00000000">
        <w:rPr>
          <w:rtl w:val="0"/>
        </w:rPr>
      </w:r>
    </w:p>
    <w:p w:rsidR="00000000" w:rsidDel="00000000" w:rsidP="00000000" w:rsidRDefault="00000000" w:rsidRPr="00000000" w14:paraId="00000006">
      <w:pPr>
        <w:ind w:left="0" w:right="120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You might be concerned, or even appalled, as we are,  that this Sainsbury's store is continuing to sell Israeli Apartheid goods such as dates, advocados, mangos, tahini and Sabra Hummus. The sale of these Israeli items is helping to fund the genocide and ethnic cleansing happening in Gaza, the West Bank and East Jerusalem  right now.</w:t>
      </w:r>
    </w:p>
    <w:p w:rsidR="00000000" w:rsidDel="00000000" w:rsidP="00000000" w:rsidRDefault="00000000" w:rsidRPr="00000000" w14:paraId="00000007">
      <w:pPr>
        <w:ind w:left="0" w:right="60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8">
      <w:pPr>
        <w:ind w:left="0" w:right="600" w:firstLine="0"/>
        <w:rPr>
          <w:rFonts w:ascii="Arial" w:cs="Arial" w:eastAsia="Arial" w:hAnsi="Arial"/>
          <w:b w:val="1"/>
          <w:color w:val="4f7a28"/>
          <w:highlight w:val="white"/>
        </w:rPr>
      </w:pPr>
      <w:r w:rsidDel="00000000" w:rsidR="00000000" w:rsidRPr="00000000">
        <w:rPr>
          <w:rFonts w:ascii="Arial" w:cs="Arial" w:eastAsia="Arial" w:hAnsi="Arial"/>
          <w:b w:val="1"/>
          <w:color w:val="4f7a28"/>
          <w:highlight w:val="white"/>
          <w:rtl w:val="0"/>
        </w:rPr>
        <w:t xml:space="preserve">Sainsbury’s stopped selling Russian goods within a week of Russia breaking international law by invading and wanting to annex Ukraine. You might wonder why Sainsbury’s haven’t similarly stopped selling Israeli goods!</w:t>
      </w:r>
    </w:p>
    <w:p w:rsidR="00000000" w:rsidDel="00000000" w:rsidP="00000000" w:rsidRDefault="00000000" w:rsidRPr="00000000" w14:paraId="00000009">
      <w:pPr>
        <w:ind w:left="0" w:right="600" w:firstLine="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A">
      <w:pPr>
        <w:ind w:left="0" w:right="600" w:firstLine="0"/>
        <w:rPr>
          <w:rFonts w:ascii="Arial" w:cs="Arial" w:eastAsia="Arial" w:hAnsi="Arial"/>
          <w:b w:val="1"/>
          <w:color w:val="222222"/>
          <w:highlight w:val="white"/>
        </w:rPr>
      </w:pPr>
      <w:r w:rsidDel="00000000" w:rsidR="00000000" w:rsidRPr="00000000">
        <w:rPr>
          <w:rFonts w:ascii="Arial" w:cs="Arial" w:eastAsia="Arial" w:hAnsi="Arial"/>
          <w:b w:val="1"/>
          <w:color w:val="222222"/>
          <w:highlight w:val="white"/>
          <w:rtl w:val="0"/>
        </w:rPr>
        <w:t xml:space="preserve">In July of last year the International Court of Justice ruled that Israel’s occupation of Palestinian territory is illegal. We therefore believe that Sainsbury’s is complicit in war crimes by selling produce and products from the Occupied Palestinian Territories.</w:t>
      </w:r>
    </w:p>
    <w:p w:rsidR="00000000" w:rsidDel="00000000" w:rsidP="00000000" w:rsidRDefault="00000000" w:rsidRPr="00000000" w14:paraId="0000000B">
      <w:pPr>
        <w:ind w:left="0" w:right="600" w:firstLine="0"/>
        <w:rPr>
          <w:rFonts w:ascii="Arial" w:cs="Arial" w:eastAsia="Arial" w:hAnsi="Arial"/>
          <w:b w:val="1"/>
          <w:color w:val="222222"/>
          <w:highlight w:val="white"/>
        </w:rPr>
      </w:pPr>
      <w:r w:rsidDel="00000000" w:rsidR="00000000" w:rsidRPr="00000000">
        <w:rPr>
          <w:rtl w:val="0"/>
        </w:rPr>
      </w:r>
    </w:p>
    <w:p w:rsidR="00000000" w:rsidDel="00000000" w:rsidP="00000000" w:rsidRDefault="00000000" w:rsidRPr="00000000" w14:paraId="0000000C">
      <w:pPr>
        <w:ind w:left="0" w:right="600" w:firstLine="0"/>
        <w:rPr>
          <w:rFonts w:ascii="Arial" w:cs="Arial" w:eastAsia="Arial" w:hAnsi="Arial"/>
          <w:b w:val="1"/>
          <w:color w:val="4f7a28"/>
          <w:highlight w:val="white"/>
        </w:rPr>
      </w:pPr>
      <w:r w:rsidDel="00000000" w:rsidR="00000000" w:rsidRPr="00000000">
        <w:rPr>
          <w:rFonts w:ascii="Arial" w:cs="Arial" w:eastAsia="Arial" w:hAnsi="Arial"/>
          <w:b w:val="1"/>
          <w:color w:val="4f7a28"/>
          <w:highlight w:val="white"/>
          <w:rtl w:val="0"/>
        </w:rPr>
        <w:t xml:space="preserve">At least 46,000 Palestinians have been murdered since October of last year - 2/3rds of whom are women and children. Many are killed not only by indiscriminate bombing, but are directly targeted by snipers. That’s hard to believe, but that is what British doctors are saying , having spent time in GAZA.</w:t>
      </w:r>
    </w:p>
    <w:p w:rsidR="00000000" w:rsidDel="00000000" w:rsidP="00000000" w:rsidRDefault="00000000" w:rsidRPr="00000000" w14:paraId="0000000D">
      <w:pPr>
        <w:ind w:left="0" w:right="600" w:firstLine="0"/>
        <w:rPr>
          <w:rFonts w:ascii="Arial" w:cs="Arial" w:eastAsia="Arial" w:hAnsi="Arial"/>
          <w:b w:val="1"/>
          <w:color w:val="4f7a28"/>
          <w:highlight w:val="white"/>
        </w:rPr>
      </w:pPr>
      <w:r w:rsidDel="00000000" w:rsidR="00000000" w:rsidRPr="00000000">
        <w:rPr>
          <w:rtl w:val="0"/>
        </w:rPr>
      </w:r>
    </w:p>
    <w:p w:rsidR="00000000" w:rsidDel="00000000" w:rsidP="00000000" w:rsidRDefault="00000000" w:rsidRPr="00000000" w14:paraId="0000000E">
      <w:pPr>
        <w:ind w:left="0" w:right="60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As we witness the daily horror of life for Palestinians in Gaza, we might feel there is nothing we can do to show our outrage, BUT a AS CONSUMERS WE HAVE  CHOICES.   We can support Justice simply by choosing what we buy or don’t buy.</w:t>
      </w:r>
    </w:p>
    <w:p w:rsidR="00000000" w:rsidDel="00000000" w:rsidP="00000000" w:rsidRDefault="00000000" w:rsidRPr="00000000" w14:paraId="0000000F">
      <w:pPr>
        <w:ind w:left="0" w:right="60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10">
      <w:pPr>
        <w:ind w:left="0" w:right="60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So please check the label and do not buy items marked Produce of Israel, which are helping to fund the war crimes happening in the Occupied Palestinian Territories.  These products are on sale from other countries. We do not have to buy from Israel.  </w:t>
      </w:r>
    </w:p>
    <w:p w:rsidR="00000000" w:rsidDel="00000000" w:rsidP="00000000" w:rsidRDefault="00000000" w:rsidRPr="00000000" w14:paraId="00000011">
      <w:pPr>
        <w:ind w:left="0" w:right="60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12">
      <w:pPr>
        <w:ind w:left="0" w:right="60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So, if you’re outraged, as we are, that this store is selling apartheid items from Israel: </w:t>
      </w:r>
    </w:p>
    <w:p w:rsidR="00000000" w:rsidDel="00000000" w:rsidP="00000000" w:rsidRDefault="00000000" w:rsidRPr="00000000" w14:paraId="00000013">
      <w:pPr>
        <w:ind w:left="0" w:right="60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14">
      <w:pPr>
        <w:ind w:left="0" w:right="60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1) Please don’t buy them, they are available from other countries, so you can make a choice. Boycotting Israeli goods is one thing we can all do so that we’re not contributing to the genocide, and are actively opposing it. </w:t>
      </w:r>
    </w:p>
    <w:p w:rsidR="00000000" w:rsidDel="00000000" w:rsidP="00000000" w:rsidRDefault="00000000" w:rsidRPr="00000000" w14:paraId="00000015">
      <w:pPr>
        <w:ind w:left="0" w:right="60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2) Talk to the staff and tell the manager of your concern, and why, and that they don’t need to be selling apartheid goods from Israel when such items are available from other countries.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Helvetica Neue" w:cs="Helvetica Neue" w:eastAsia="Helvetica Neue" w:hAnsi="Helvetica Neue"/>
          <w:sz w:val="30"/>
          <w:szCs w:val="30"/>
        </w:rPr>
      </w:pPr>
      <w:r w:rsidDel="00000000" w:rsidR="00000000" w:rsidRPr="00000000">
        <w:rPr>
          <w:rtl w:val="0"/>
        </w:rPr>
      </w:r>
    </w:p>
    <w:sectPr>
      <w:headerReference r:id="rId7" w:type="default"/>
      <w:footerReference r:id="rId8" w:type="default"/>
      <w:pgSz w:h="16838" w:w="11906" w:orient="portrait"/>
      <w:pgMar w:bottom="1134" w:top="1134" w:left="1134" w:right="1134"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dt>
    <w:sdtPr>
      <w:lock w:val="contentLocked"/>
      <w:id w:val="-1387847770"/>
      <w:tag w:val="goog_rdk_0"/>
    </w:sdtPr>
    <w:sdtContent>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drawing>
                  <wp:inline distB="114300" distT="114300" distL="114300" distR="114300">
                    <wp:extent cx="5923598" cy="7334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23598" cy="733425"/>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numbering" w:styleId="Lettered">
    <w:name w:val="Lettered"/>
    <w:pPr>
      <w:numPr>
        <w:numId w:val="1"/>
      </w:numPr>
    </w:pPr>
  </w:style>
  <w:style w:type="numbering" w:styleId="Dash">
    <w:name w:val="Dash"/>
    <w:pPr>
      <w:numPr>
        <w:numId w:val="3"/>
      </w:numPr>
    </w:p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boEuKbJiHg4W9HcW4kLUlncfw==">CgMxLjAaHwoBMBIaChgICVIUChJ0YWJsZS50bWcxZXZzemxoNjYyDmgudG03NnBhNDlpMTd1OAByITFfcmF2RDJqMldwMlNCZmpQaEtJWVdkdW5MQ01xNnpuaw==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